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sz w:val="20"/>
          <w:szCs w:val="20"/>
          <w:vertAlign w:val="baseline"/>
          <w:rtl w:val="0"/>
        </w:rPr>
        <w:t xml:space="preserve">Response to Intervention: Creating Games to Differentiate Instruction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Fonts w:ascii="Helvetica Neue" w:cs="Helvetica Neue" w:eastAsia="Helvetica Neue" w:hAnsi="Helvetica Neue"/>
          <w:b w:val="0"/>
          <w:i w:val="0"/>
          <w:sz w:val="20"/>
          <w:szCs w:val="20"/>
          <w:rtl w:val="0"/>
        </w:rPr>
        <w:t xml:space="preserve">Course# 4807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sz w:val="20"/>
          <w:szCs w:val="20"/>
          <w:vertAlign w:val="baseline"/>
          <w:rtl w:val="0"/>
        </w:rPr>
        <w:t xml:space="preserve">Summer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Helvetica Neue" w:cs="Helvetica Neue" w:eastAsia="Helvetica Neue" w:hAnsi="Helvetica Neue"/>
          <w:b w:val="0"/>
          <w:sz w:val="20"/>
          <w:szCs w:val="20"/>
          <w:vertAlign w:val="baseline"/>
          <w:rtl w:val="0"/>
        </w:rPr>
        <w:t xml:space="preserve">Course </w:t>
      </w:r>
    </w:p>
    <w:p w:rsidR="00000000" w:rsidDel="00000000" w:rsidP="00000000" w:rsidRDefault="00000000" w:rsidRPr="00000000">
      <w:pPr>
        <w:ind w:left="1440" w:right="-630" w:hanging="1440"/>
        <w:contextualSpacing w:val="0"/>
      </w:pPr>
      <w:r w:rsidDel="00000000" w:rsidR="00000000" w:rsidRPr="00000000">
        <w:rPr>
          <w:rFonts w:ascii="Helvetica Neue" w:cs="Helvetica Neue" w:eastAsia="Helvetica Neue" w:hAnsi="Helvetica Neue"/>
          <w:sz w:val="20"/>
          <w:szCs w:val="20"/>
          <w:vertAlign w:val="baseline"/>
          <w:rtl w:val="0"/>
        </w:rPr>
        <w:t xml:space="preserve">Rationale</w:t>
      </w:r>
      <w:r w:rsidDel="00000000" w:rsidR="00000000" w:rsidRPr="00000000">
        <w:rPr>
          <w:rFonts w:ascii="Helvetica Neue" w:cs="Helvetica Neue" w:eastAsia="Helvetica Neue" w:hAnsi="Helvetica Neue"/>
          <w:b w:val="1"/>
          <w:sz w:val="20"/>
          <w:szCs w:val="20"/>
          <w:vertAlign w:val="baseline"/>
          <w:rtl w:val="0"/>
        </w:rPr>
        <w:t xml:space="preserve">:  </w:t>
        <w:tab/>
      </w:r>
      <w:r w:rsidDel="00000000" w:rsidR="00000000" w:rsidRPr="00000000">
        <w:rPr>
          <w:rFonts w:ascii="Helvetica Neue" w:cs="Helvetica Neue" w:eastAsia="Helvetica Neue" w:hAnsi="Helvetica Neue"/>
          <w:sz w:val="20"/>
          <w:szCs w:val="20"/>
          <w:vertAlign w:val="baseline"/>
          <w:rtl w:val="0"/>
        </w:rPr>
        <w:t xml:space="preserve">Response to Intervention (RTI) became New York State policy in 2007.  RTI is a framework for academic intervention by teachers to identify and to provide supplemental instruction to children who are having difficulty learning.  Specific RTI regulations apply to the core curriculum and the general education classroom teacher who must develop interventional strategies that differentiate in the classroom. The games course has been a popular STI professional development offering for many years, and participants have requested an expanded course to examine RTI requirements and to probe the theory of games and play in learning while developing additional individualized activities for children.  The use of games is an effective activity for targeting the skills that the struggling student needs to master. Games provide the repetition and review often needed to learn in an enjoyable and fun way in all subject areas. Children are active learners; games engage them in learning and can be used to supplement instruction within the RTI framework.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Helvetica Neue" w:cs="Helvetica Neue" w:eastAsia="Helvetica Neue" w:hAnsi="Helvetica Neue"/>
          <w:b w:val="0"/>
          <w:sz w:val="20"/>
          <w:szCs w:val="20"/>
          <w:vertAlign w:val="baseline"/>
          <w:rtl w:val="0"/>
        </w:rPr>
        <w:t xml:space="preserve">Course</w:t>
      </w:r>
    </w:p>
    <w:p w:rsidR="00000000" w:rsidDel="00000000" w:rsidP="00000000" w:rsidRDefault="00000000" w:rsidRPr="00000000">
      <w:pPr>
        <w:ind w:left="1440" w:right="-810" w:hanging="1440"/>
        <w:contextualSpacing w:val="0"/>
      </w:pPr>
      <w:r w:rsidDel="00000000" w:rsidR="00000000" w:rsidRPr="00000000">
        <w:rPr>
          <w:rFonts w:ascii="Helvetica Neue" w:cs="Helvetica Neue" w:eastAsia="Helvetica Neue" w:hAnsi="Helvetica Neue"/>
          <w:sz w:val="20"/>
          <w:szCs w:val="20"/>
          <w:vertAlign w:val="baseline"/>
          <w:rtl w:val="0"/>
        </w:rPr>
        <w:t xml:space="preserve">Description:</w:t>
      </w:r>
      <w:r w:rsidDel="00000000" w:rsidR="00000000" w:rsidRPr="00000000">
        <w:rPr>
          <w:rFonts w:ascii="Helvetica Neue" w:cs="Helvetica Neue" w:eastAsia="Helvetica Neue" w:hAnsi="Helvetica Neue"/>
          <w:b w:val="1"/>
          <w:sz w:val="20"/>
          <w:szCs w:val="20"/>
          <w:vertAlign w:val="baseline"/>
          <w:rtl w:val="0"/>
        </w:rPr>
        <w:t xml:space="preserve"> </w:t>
      </w:r>
      <w:r w:rsidDel="00000000" w:rsidR="00000000" w:rsidRPr="00000000">
        <w:rPr>
          <w:rFonts w:ascii="Helvetica Neue" w:cs="Helvetica Neue" w:eastAsia="Helvetica Neue" w:hAnsi="Helvetica Neue"/>
          <w:sz w:val="20"/>
          <w:szCs w:val="20"/>
          <w:vertAlign w:val="baseline"/>
          <w:rtl w:val="0"/>
        </w:rPr>
        <w:tab/>
        <w:t xml:space="preserve">This course offers teachers specific instruction that can be used in Tier 1 for RTI. In the Tier I phase, the teacher identifies a student who is at risk and assesses the skill area for supplemental instruction to be provided during the school day. Teachers in grades K-4 will examine RTI specifications and create games and activities that can be used immediately in their classrooms to reinforce curriculum and to differentiate instruction for students experiencing difficulty learning.  An integral part of the course will be the exploration of multiple intelligences, learning styles, and individualized instructional strategies.  Teachers will examine their curricular areas in the primary grades to develop numerous and varied games to target particular learning problems.  Participants should bring reference materials for the concepts and skills they would like to individualize in their supplemental instruction.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Helvetica Neue" w:cs="Helvetica Neue" w:eastAsia="Helvetica Neue" w:hAnsi="Helvetica Neue"/>
          <w:b w:val="0"/>
          <w:sz w:val="20"/>
          <w:szCs w:val="20"/>
          <w:vertAlign w:val="baseline"/>
          <w:rtl w:val="0"/>
        </w:rPr>
        <w:t xml:space="preserve">Course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Requirements</w:t>
      </w:r>
      <w:r w:rsidDel="00000000" w:rsidR="00000000" w:rsidRPr="00000000">
        <w:rPr>
          <w:rFonts w:ascii="Helvetica Neue" w:cs="Helvetica Neue" w:eastAsia="Helvetica Neue" w:hAnsi="Helvetica Neue"/>
          <w:b w:val="1"/>
          <w:sz w:val="20"/>
          <w:szCs w:val="20"/>
          <w:vertAlign w:val="baseline"/>
          <w:rtl w:val="0"/>
        </w:rPr>
        <w:t xml:space="preserve">:</w:t>
        <w:tab/>
      </w:r>
      <w:r w:rsidDel="00000000" w:rsidR="00000000" w:rsidRPr="00000000">
        <w:rPr>
          <w:rFonts w:ascii="Helvetica Neue" w:cs="Helvetica Neue" w:eastAsia="Helvetica Neue" w:hAnsi="Helvetica Neue"/>
          <w:sz w:val="20"/>
          <w:szCs w:val="20"/>
          <w:vertAlign w:val="baseline"/>
          <w:rtl w:val="0"/>
        </w:rPr>
        <w:t xml:space="preserve">1.    Attend all sessions.</w:t>
      </w:r>
      <w:r w:rsidDel="00000000" w:rsidR="00000000" w:rsidRPr="00000000">
        <w:rPr>
          <w:rtl w:val="0"/>
        </w:rPr>
      </w:r>
    </w:p>
    <w:p w:rsidR="00000000" w:rsidDel="00000000" w:rsidP="00000000" w:rsidRDefault="00000000" w:rsidRPr="00000000">
      <w:pPr>
        <w:numPr>
          <w:ilvl w:val="0"/>
          <w:numId w:val="1"/>
        </w:numPr>
        <w:ind w:left="1800" w:hanging="360"/>
        <w:rPr>
          <w:rFonts w:ascii="Helvetica Neue" w:cs="Helvetica Neue" w:eastAsia="Helvetica Neue" w:hAnsi="Helvetica Neue"/>
          <w:b w:val="0"/>
          <w:sz w:val="20"/>
          <w:szCs w:val="20"/>
        </w:rPr>
      </w:pPr>
      <w:r w:rsidDel="00000000" w:rsidR="00000000" w:rsidRPr="00000000">
        <w:rPr>
          <w:rFonts w:ascii="Helvetica Neue" w:cs="Helvetica Neue" w:eastAsia="Helvetica Neue" w:hAnsi="Helvetica Neue"/>
          <w:sz w:val="20"/>
          <w:szCs w:val="20"/>
          <w:vertAlign w:val="baseline"/>
          <w:rtl w:val="0"/>
        </w:rPr>
        <w:t xml:space="preserve">Share with colleagues personal strategies, games, and activities to differentiate instruction.</w:t>
      </w:r>
      <w:r w:rsidDel="00000000" w:rsidR="00000000" w:rsidRPr="00000000">
        <w:rPr>
          <w:rtl w:val="0"/>
        </w:rPr>
      </w:r>
    </w:p>
    <w:p w:rsidR="00000000" w:rsidDel="00000000" w:rsidP="00000000" w:rsidRDefault="00000000" w:rsidRPr="00000000">
      <w:pPr>
        <w:numPr>
          <w:ilvl w:val="0"/>
          <w:numId w:val="1"/>
        </w:numPr>
        <w:ind w:left="1800" w:hanging="360"/>
        <w:rPr>
          <w:rFonts w:ascii="Helvetica Neue" w:cs="Helvetica Neue" w:eastAsia="Helvetica Neue" w:hAnsi="Helvetica Neue"/>
          <w:b w:val="0"/>
          <w:sz w:val="20"/>
          <w:szCs w:val="20"/>
        </w:rPr>
      </w:pPr>
      <w:r w:rsidDel="00000000" w:rsidR="00000000" w:rsidRPr="00000000">
        <w:rPr>
          <w:rFonts w:ascii="Helvetica Neue" w:cs="Helvetica Neue" w:eastAsia="Helvetica Neue" w:hAnsi="Helvetica Neue"/>
          <w:sz w:val="20"/>
          <w:szCs w:val="20"/>
          <w:vertAlign w:val="baseline"/>
          <w:rtl w:val="0"/>
        </w:rPr>
        <w:t xml:space="preserve">Complete 15 new games or activities for the classroom that can be used as supplemental instruction following the RTI framework.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Helvetica Neue" w:cs="Helvetica Neue" w:eastAsia="Helvetica Neue" w:hAnsi="Helvetica Neue"/>
          <w:b w:val="0"/>
          <w:sz w:val="20"/>
          <w:szCs w:val="20"/>
          <w:vertAlign w:val="baseline"/>
          <w:rtl w:val="0"/>
        </w:rPr>
        <w:t xml:space="preserve">Course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Coordinator:</w:t>
      </w:r>
      <w:r w:rsidDel="00000000" w:rsidR="00000000" w:rsidRPr="00000000">
        <w:rPr>
          <w:rFonts w:ascii="Helvetica Neue" w:cs="Helvetica Neue" w:eastAsia="Helvetica Neue" w:hAnsi="Helvetica Neue"/>
          <w:b w:val="1"/>
          <w:sz w:val="20"/>
          <w:szCs w:val="20"/>
          <w:vertAlign w:val="baseline"/>
          <w:rtl w:val="0"/>
        </w:rPr>
        <w:t xml:space="preserve">  </w:t>
        <w:tab/>
      </w:r>
      <w:r w:rsidDel="00000000" w:rsidR="00000000" w:rsidRPr="00000000">
        <w:rPr>
          <w:rFonts w:ascii="Helvetica Neue" w:cs="Helvetica Neue" w:eastAsia="Helvetica Neue" w:hAnsi="Helvetica Neue"/>
          <w:sz w:val="20"/>
          <w:szCs w:val="20"/>
          <w:vertAlign w:val="baseline"/>
          <w:rtl w:val="0"/>
        </w:rPr>
        <w:t xml:space="preserve">Bevin Pagel, Teacher, Edgewood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Open to:</w:t>
      </w:r>
      <w:r w:rsidDel="00000000" w:rsidR="00000000" w:rsidRPr="00000000">
        <w:rPr>
          <w:rFonts w:ascii="Helvetica Neue" w:cs="Helvetica Neue" w:eastAsia="Helvetica Neue" w:hAnsi="Helvetica Neue"/>
          <w:b w:val="1"/>
          <w:sz w:val="20"/>
          <w:szCs w:val="20"/>
          <w:vertAlign w:val="baseline"/>
          <w:rtl w:val="0"/>
        </w:rPr>
        <w:t xml:space="preserve">         </w:t>
        <w:tab/>
      </w:r>
      <w:r w:rsidDel="00000000" w:rsidR="00000000" w:rsidRPr="00000000">
        <w:rPr>
          <w:rFonts w:ascii="Helvetica Neue" w:cs="Helvetica Neue" w:eastAsia="Helvetica Neue" w:hAnsi="Helvetica Neue"/>
          <w:sz w:val="20"/>
          <w:szCs w:val="20"/>
          <w:vertAlign w:val="baseline"/>
          <w:rtl w:val="0"/>
        </w:rPr>
        <w:t xml:space="preserve">K-4 and Special 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Time:</w:t>
      </w:r>
      <w:r w:rsidDel="00000000" w:rsidR="00000000" w:rsidRPr="00000000">
        <w:rPr>
          <w:rFonts w:ascii="Helvetica Neue" w:cs="Helvetica Neue" w:eastAsia="Helvetica Neue" w:hAnsi="Helvetica Neue"/>
          <w:b w:val="1"/>
          <w:sz w:val="20"/>
          <w:szCs w:val="20"/>
          <w:vertAlign w:val="baseline"/>
          <w:rtl w:val="0"/>
        </w:rPr>
        <w:t xml:space="preserve">  </w:t>
        <w:tab/>
        <w:tab/>
      </w:r>
      <w:r w:rsidDel="00000000" w:rsidR="00000000" w:rsidRPr="00000000">
        <w:rPr>
          <w:rFonts w:ascii="Helvetica Neue" w:cs="Helvetica Neue" w:eastAsia="Helvetica Neue" w:hAnsi="Helvetica Neue"/>
          <w:sz w:val="20"/>
          <w:szCs w:val="20"/>
          <w:vertAlign w:val="baseline"/>
          <w:rtl w:val="0"/>
        </w:rPr>
        <w:t xml:space="preserve">9:00am-3:30pm, June 27-June </w:t>
      </w:r>
      <w:r w:rsidDel="00000000" w:rsidR="00000000" w:rsidRPr="00000000">
        <w:rPr>
          <w:rFonts w:ascii="Helvetica Neue" w:cs="Helvetica Neue" w:eastAsia="Helvetica Neue" w:hAnsi="Helvetica Neue"/>
          <w:sz w:val="20"/>
          <w:szCs w:val="20"/>
          <w:rtl w:val="0"/>
        </w:rPr>
        <w:t xml:space="preserve">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Location:</w:t>
      </w:r>
      <w:r w:rsidDel="00000000" w:rsidR="00000000" w:rsidRPr="00000000">
        <w:rPr>
          <w:rFonts w:ascii="Helvetica Neue" w:cs="Helvetica Neue" w:eastAsia="Helvetica Neue" w:hAnsi="Helvetica Neue"/>
          <w:b w:val="1"/>
          <w:sz w:val="20"/>
          <w:szCs w:val="20"/>
          <w:vertAlign w:val="baseline"/>
          <w:rtl w:val="0"/>
        </w:rPr>
        <w:t xml:space="preserve">  </w:t>
      </w:r>
      <w:r w:rsidDel="00000000" w:rsidR="00000000" w:rsidRPr="00000000">
        <w:rPr>
          <w:rFonts w:ascii="Helvetica Neue" w:cs="Helvetica Neue" w:eastAsia="Helvetica Neue" w:hAnsi="Helvetica Neue"/>
          <w:sz w:val="20"/>
          <w:szCs w:val="20"/>
          <w:vertAlign w:val="baseline"/>
          <w:rtl w:val="0"/>
        </w:rPr>
        <w:tab/>
        <w:t xml:space="preserve">SHS 170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Materials Fee:</w:t>
      </w:r>
      <w:r w:rsidDel="00000000" w:rsidR="00000000" w:rsidRPr="00000000">
        <w:rPr>
          <w:rFonts w:ascii="Helvetica Neue" w:cs="Helvetica Neue" w:eastAsia="Helvetica Neue" w:hAnsi="Helvetica Neue"/>
          <w:b w:val="1"/>
          <w:sz w:val="20"/>
          <w:szCs w:val="20"/>
          <w:vertAlign w:val="baseline"/>
          <w:rtl w:val="0"/>
        </w:rPr>
        <w:t xml:space="preserve">  </w:t>
      </w:r>
      <w:r w:rsidDel="00000000" w:rsidR="00000000" w:rsidRPr="00000000">
        <w:rPr>
          <w:rFonts w:ascii="Helvetica Neue" w:cs="Helvetica Neue" w:eastAsia="Helvetica Neue" w:hAnsi="Helvetica Neue"/>
          <w:sz w:val="20"/>
          <w:szCs w:val="20"/>
          <w:vertAlign w:val="baseline"/>
          <w:rtl w:val="0"/>
        </w:rPr>
        <w:t xml:space="preserve"> $20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Credit:</w:t>
      </w:r>
      <w:r w:rsidDel="00000000" w:rsidR="00000000" w:rsidRPr="00000000">
        <w:rPr>
          <w:rFonts w:ascii="Helvetica Neue" w:cs="Helvetica Neue" w:eastAsia="Helvetica Neue" w:hAnsi="Helvetica Neue"/>
          <w:b w:val="1"/>
          <w:sz w:val="20"/>
          <w:szCs w:val="20"/>
          <w:vertAlign w:val="baseline"/>
          <w:rtl w:val="0"/>
        </w:rPr>
        <w:t xml:space="preserve"> </w:t>
      </w:r>
      <w:r w:rsidDel="00000000" w:rsidR="00000000" w:rsidRPr="00000000">
        <w:rPr>
          <w:rFonts w:ascii="Helvetica Neue" w:cs="Helvetica Neue" w:eastAsia="Helvetica Neue" w:hAnsi="Helvetica Neue"/>
          <w:sz w:val="20"/>
          <w:szCs w:val="20"/>
          <w:vertAlign w:val="baseline"/>
          <w:rtl w:val="0"/>
        </w:rPr>
        <w:t xml:space="preserve"> </w:t>
        <w:tab/>
        <w:tab/>
        <w:t xml:space="preserve">Two points salary credit or stipend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ab/>
        <w:tab/>
        <w:t xml:space="preserve">Course limited to 18 participants.</w:t>
      </w:r>
      <w:r w:rsidDel="00000000" w:rsidR="00000000" w:rsidRPr="00000000">
        <w:rPr>
          <w:rtl w:val="0"/>
        </w:rPr>
      </w:r>
    </w:p>
    <w:sectPr>
      <w:pgSz w:h="15840" w:w="12240"/>
      <w:pgMar w:bottom="1440" w:top="72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Helvetica Neue">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0"/>
      <w:sz w:val="28"/>
      <w:szCs w:val="28"/>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u w:val="single"/>
      <w:vertAlign w:val="baseline"/>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1"/>
      <w:i w:val="1"/>
      <w:color w:val="666666"/>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